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661B" w14:textId="4C5D48C9" w:rsidR="00E9772E" w:rsidRDefault="00E9772E" w:rsidP="00E9772E">
      <w:pPr>
        <w:jc w:val="center"/>
      </w:pPr>
      <w:r w:rsidRPr="00E9772E">
        <w:rPr>
          <w:noProof/>
        </w:rPr>
        <w:drawing>
          <wp:inline distT="0" distB="0" distL="0" distR="0" wp14:anchorId="42F18313" wp14:editId="21A2510B">
            <wp:extent cx="3086100" cy="845413"/>
            <wp:effectExtent l="0" t="0" r="0" b="0"/>
            <wp:docPr id="1" name="Picture 1" descr="C:\Users\Elizabeth Whyte\OneDrive\Logos\WAC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 Whyte\OneDrive\Logos\WAC Logo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920" cy="846733"/>
                    </a:xfrm>
                    <a:prstGeom prst="rect">
                      <a:avLst/>
                    </a:prstGeom>
                    <a:noFill/>
                    <a:ln>
                      <a:noFill/>
                    </a:ln>
                  </pic:spPr>
                </pic:pic>
              </a:graphicData>
            </a:graphic>
          </wp:inline>
        </w:drawing>
      </w:r>
    </w:p>
    <w:p w14:paraId="31BE25A8" w14:textId="0D7B7DED" w:rsidR="00E9772E" w:rsidRDefault="00E9772E" w:rsidP="00E9772E"/>
    <w:p w14:paraId="559AAAB0" w14:textId="52E25A5D" w:rsidR="00E9772E" w:rsidRPr="00345574" w:rsidRDefault="00E9772E" w:rsidP="00E9772E">
      <w:pPr>
        <w:rPr>
          <w:sz w:val="28"/>
          <w:szCs w:val="28"/>
        </w:rPr>
      </w:pPr>
      <w:r w:rsidRPr="00345574">
        <w:rPr>
          <w:sz w:val="28"/>
          <w:szCs w:val="28"/>
        </w:rPr>
        <w:t>Child Safeguarding Statement</w:t>
      </w:r>
    </w:p>
    <w:p w14:paraId="1728F732" w14:textId="179E735A" w:rsidR="00E9772E" w:rsidRPr="00345574" w:rsidRDefault="00E9772E" w:rsidP="00E9772E">
      <w:pPr>
        <w:rPr>
          <w:u w:val="single"/>
        </w:rPr>
      </w:pP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r w:rsidRPr="00345574">
        <w:rPr>
          <w:u w:val="single"/>
        </w:rPr>
        <w:tab/>
      </w:r>
    </w:p>
    <w:p w14:paraId="21C5EF9D" w14:textId="77777777" w:rsidR="0055259B" w:rsidRPr="0055259B" w:rsidRDefault="00E9772E" w:rsidP="00E9772E">
      <w:pPr>
        <w:pStyle w:val="ListParagraph"/>
        <w:numPr>
          <w:ilvl w:val="0"/>
          <w:numId w:val="1"/>
        </w:numPr>
        <w:rPr>
          <w:b/>
        </w:rPr>
      </w:pPr>
      <w:r w:rsidRPr="0055259B">
        <w:rPr>
          <w:b/>
        </w:rPr>
        <w:t xml:space="preserve"> Name of service being provided </w:t>
      </w:r>
    </w:p>
    <w:p w14:paraId="72686C62" w14:textId="77777777" w:rsidR="0055259B" w:rsidRDefault="0055259B" w:rsidP="0055259B">
      <w:pPr>
        <w:pStyle w:val="ListParagraph"/>
        <w:ind w:left="360"/>
      </w:pPr>
    </w:p>
    <w:p w14:paraId="10CADC8A" w14:textId="3D5B4B66" w:rsidR="00E9772E" w:rsidRPr="00345574" w:rsidRDefault="00E9772E" w:rsidP="0055259B">
      <w:pPr>
        <w:pStyle w:val="ListParagraph"/>
        <w:ind w:left="360"/>
      </w:pPr>
      <w:r w:rsidRPr="00345574">
        <w:t xml:space="preserve">Delivery of vibrant arts programme for all in the community  </w:t>
      </w:r>
    </w:p>
    <w:p w14:paraId="0366AE3E" w14:textId="77777777" w:rsidR="00E9772E" w:rsidRPr="00345574" w:rsidRDefault="00E9772E">
      <w:r w:rsidRPr="00345574">
        <w:t>___________________________________________________________________</w:t>
      </w:r>
    </w:p>
    <w:p w14:paraId="68E9E82D" w14:textId="7B6F700F" w:rsidR="00E9772E" w:rsidRPr="0055259B" w:rsidRDefault="00E9772E" w:rsidP="00737514">
      <w:pPr>
        <w:pStyle w:val="ListParagraph"/>
        <w:numPr>
          <w:ilvl w:val="0"/>
          <w:numId w:val="1"/>
        </w:numPr>
        <w:rPr>
          <w:b/>
        </w:rPr>
      </w:pPr>
      <w:r w:rsidRPr="0055259B">
        <w:rPr>
          <w:b/>
        </w:rPr>
        <w:t xml:space="preserve"> Nature of Service and principles to safeguard children from harm</w:t>
      </w:r>
    </w:p>
    <w:p w14:paraId="0981C6A2" w14:textId="06386963" w:rsidR="00E9772E" w:rsidRPr="00345574" w:rsidRDefault="00E9772E" w:rsidP="00E9772E">
      <w:pPr>
        <w:autoSpaceDE w:val="0"/>
        <w:autoSpaceDN w:val="0"/>
        <w:adjustRightInd w:val="0"/>
        <w:spacing w:after="0" w:line="240" w:lineRule="auto"/>
        <w:rPr>
          <w:rFonts w:ascii="TTC0t00" w:hAnsi="TTC0t00" w:cs="TTC0t00"/>
        </w:rPr>
      </w:pPr>
      <w:r w:rsidRPr="00345574">
        <w:rPr>
          <w:rFonts w:ascii="TTC0t00" w:hAnsi="TTC0t00" w:cs="TTC0t00"/>
        </w:rPr>
        <w:t xml:space="preserve">Wexford Arts Centre </w:t>
      </w:r>
      <w:r w:rsidRPr="00345574">
        <w:rPr>
          <w:rFonts w:ascii="TTC0t00" w:hAnsi="TTC0t00" w:cs="TTC0t00"/>
        </w:rPr>
        <w:t>is a creative space for artists, performers</w:t>
      </w:r>
      <w:r w:rsidRPr="00345574">
        <w:rPr>
          <w:rFonts w:ascii="TTC0t00" w:hAnsi="TTC0t00" w:cs="TTC0t00"/>
        </w:rPr>
        <w:t>, visual art facilitators and participants</w:t>
      </w:r>
      <w:r w:rsidRPr="00345574">
        <w:rPr>
          <w:rFonts w:ascii="TTC0t00" w:hAnsi="TTC0t00" w:cs="TTC0t00"/>
        </w:rPr>
        <w:t xml:space="preserve"> and audiences. We provide child-centred</w:t>
      </w:r>
      <w:r w:rsidRPr="00345574">
        <w:rPr>
          <w:rFonts w:ascii="TTC0t00" w:hAnsi="TTC0t00" w:cs="TTC0t00"/>
        </w:rPr>
        <w:t xml:space="preserve"> </w:t>
      </w:r>
      <w:r w:rsidRPr="00345574">
        <w:rPr>
          <w:rFonts w:ascii="TTC0t00" w:hAnsi="TTC0t00" w:cs="TTC0t00"/>
        </w:rPr>
        <w:t xml:space="preserve">activities such as performances, workshops and </w:t>
      </w:r>
      <w:r w:rsidRPr="00345574">
        <w:rPr>
          <w:rFonts w:ascii="TTC0t00" w:hAnsi="TTC0t00" w:cs="TTC0t00"/>
        </w:rPr>
        <w:t>winter/</w:t>
      </w:r>
      <w:r w:rsidR="0055259B" w:rsidRPr="00345574">
        <w:rPr>
          <w:rFonts w:ascii="TTC0t00" w:hAnsi="TTC0t00" w:cs="TTC0t00"/>
        </w:rPr>
        <w:t>Easter</w:t>
      </w:r>
      <w:r w:rsidRPr="00345574">
        <w:rPr>
          <w:rFonts w:ascii="TTC0t00" w:hAnsi="TTC0t00" w:cs="TTC0t00"/>
        </w:rPr>
        <w:t>/</w:t>
      </w:r>
      <w:r w:rsidRPr="00345574">
        <w:rPr>
          <w:rFonts w:ascii="TTC0t00" w:hAnsi="TTC0t00" w:cs="TTC0t00"/>
        </w:rPr>
        <w:t>summer camps for children and young people</w:t>
      </w:r>
    </w:p>
    <w:p w14:paraId="52ADFB95" w14:textId="77777777" w:rsidR="00E9772E" w:rsidRPr="00345574" w:rsidRDefault="00E9772E" w:rsidP="00E9772E">
      <w:pPr>
        <w:autoSpaceDE w:val="0"/>
        <w:autoSpaceDN w:val="0"/>
        <w:adjustRightInd w:val="0"/>
        <w:spacing w:after="0" w:line="240" w:lineRule="auto"/>
        <w:rPr>
          <w:rFonts w:ascii="TTC0t00" w:hAnsi="TTC0t00" w:cs="TTC0t00"/>
        </w:rPr>
      </w:pPr>
      <w:r w:rsidRPr="00345574">
        <w:rPr>
          <w:rFonts w:ascii="TTC0t00" w:hAnsi="TTC0t00" w:cs="TTC0t00"/>
        </w:rPr>
        <w:t>of all ages and all abilities. We are committed to a child led approach to our work with children</w:t>
      </w:r>
    </w:p>
    <w:p w14:paraId="77996EF3" w14:textId="77777777" w:rsidR="00E9772E" w:rsidRPr="00345574" w:rsidRDefault="00E9772E" w:rsidP="00E9772E">
      <w:pPr>
        <w:autoSpaceDE w:val="0"/>
        <w:autoSpaceDN w:val="0"/>
        <w:adjustRightInd w:val="0"/>
        <w:spacing w:after="0" w:line="240" w:lineRule="auto"/>
        <w:rPr>
          <w:rFonts w:ascii="TTC0t00" w:hAnsi="TTC0t00" w:cs="TTC0t00"/>
        </w:rPr>
      </w:pPr>
      <w:r w:rsidRPr="00345574">
        <w:rPr>
          <w:rFonts w:ascii="TTC0t00" w:hAnsi="TTC0t00" w:cs="TTC0t00"/>
        </w:rPr>
        <w:t>and young people. We undertake to provide a safe environment and experience where the</w:t>
      </w:r>
    </w:p>
    <w:p w14:paraId="013C4CAE" w14:textId="402B9D6C" w:rsidR="00737514" w:rsidRPr="00345574" w:rsidRDefault="00E9772E" w:rsidP="00E9772E">
      <w:pPr>
        <w:pStyle w:val="ListParagraph"/>
        <w:ind w:left="0"/>
        <w:jc w:val="both"/>
        <w:rPr>
          <w:rFonts w:ascii="TTC0t00" w:hAnsi="TTC0t00" w:cs="TTC0t00"/>
        </w:rPr>
      </w:pPr>
      <w:r w:rsidRPr="00345574">
        <w:rPr>
          <w:rFonts w:ascii="TTC0t00" w:hAnsi="TTC0t00" w:cs="TTC0t00"/>
        </w:rPr>
        <w:t>welfare of the child and young person is paramount</w:t>
      </w:r>
      <w:r w:rsidRPr="00345574">
        <w:rPr>
          <w:rFonts w:ascii="TTC0t00" w:hAnsi="TTC0t00" w:cs="TTC0t00"/>
        </w:rPr>
        <w:t>.</w:t>
      </w:r>
    </w:p>
    <w:p w14:paraId="151CA464" w14:textId="77777777" w:rsidR="00737514" w:rsidRPr="00345574" w:rsidRDefault="00737514" w:rsidP="00737514">
      <w:pPr>
        <w:autoSpaceDE w:val="0"/>
        <w:autoSpaceDN w:val="0"/>
        <w:adjustRightInd w:val="0"/>
        <w:spacing w:after="0" w:line="240" w:lineRule="auto"/>
        <w:rPr>
          <w:rFonts w:ascii="TTC0t00" w:hAnsi="TTC0t00" w:cs="TTC0t00"/>
        </w:rPr>
      </w:pPr>
      <w:r w:rsidRPr="00345574">
        <w:rPr>
          <w:rFonts w:ascii="TTC0t00" w:hAnsi="TTC0t00" w:cs="TTC0t00"/>
        </w:rPr>
        <w:t>Our policy declaration applies to all board members, paid staff, facilitators both in-house and</w:t>
      </w:r>
    </w:p>
    <w:p w14:paraId="06DB5E12" w14:textId="77777777" w:rsidR="00737514" w:rsidRPr="00345574" w:rsidRDefault="00737514" w:rsidP="00737514">
      <w:pPr>
        <w:autoSpaceDE w:val="0"/>
        <w:autoSpaceDN w:val="0"/>
        <w:adjustRightInd w:val="0"/>
        <w:spacing w:after="0" w:line="240" w:lineRule="auto"/>
        <w:rPr>
          <w:rFonts w:ascii="TTC0t00" w:hAnsi="TTC0t00" w:cs="TTC0t00"/>
        </w:rPr>
      </w:pPr>
      <w:r w:rsidRPr="00345574">
        <w:rPr>
          <w:rFonts w:ascii="TTC0t00" w:hAnsi="TTC0t00" w:cs="TTC0t00"/>
        </w:rPr>
        <w:t>external, commissioned artists, artists on residencies, volunteers, and students on work</w:t>
      </w:r>
    </w:p>
    <w:p w14:paraId="28B48A2E" w14:textId="77777777" w:rsidR="00737514" w:rsidRPr="00345574" w:rsidRDefault="00737514" w:rsidP="00737514">
      <w:pPr>
        <w:autoSpaceDE w:val="0"/>
        <w:autoSpaceDN w:val="0"/>
        <w:adjustRightInd w:val="0"/>
        <w:spacing w:after="0" w:line="240" w:lineRule="auto"/>
        <w:rPr>
          <w:rFonts w:ascii="TTC0t00" w:hAnsi="TTC0t00" w:cs="TTC0t00"/>
        </w:rPr>
      </w:pPr>
      <w:r w:rsidRPr="00345574">
        <w:rPr>
          <w:rFonts w:ascii="TTC0t00" w:hAnsi="TTC0t00" w:cs="TTC0t00"/>
        </w:rPr>
        <w:t>placement within our organisation. All of the above must sign up to and abide by the policies,</w:t>
      </w:r>
    </w:p>
    <w:p w14:paraId="3125DA4B" w14:textId="77777777" w:rsidR="00737514" w:rsidRPr="00345574" w:rsidRDefault="00737514" w:rsidP="00737514">
      <w:pPr>
        <w:autoSpaceDE w:val="0"/>
        <w:autoSpaceDN w:val="0"/>
        <w:adjustRightInd w:val="0"/>
        <w:spacing w:after="0" w:line="240" w:lineRule="auto"/>
        <w:rPr>
          <w:rFonts w:ascii="TTC0t00" w:hAnsi="TTC0t00" w:cs="TTC0t00"/>
        </w:rPr>
      </w:pPr>
      <w:r w:rsidRPr="00345574">
        <w:rPr>
          <w:rFonts w:ascii="TTC0t00" w:hAnsi="TTC0t00" w:cs="TTC0t00"/>
        </w:rPr>
        <w:t>procedures and guidance encompassed by this statement declaration and our child</w:t>
      </w:r>
    </w:p>
    <w:p w14:paraId="14344DB2" w14:textId="77777777" w:rsidR="00737514" w:rsidRPr="00345574" w:rsidRDefault="00737514" w:rsidP="00737514">
      <w:pPr>
        <w:autoSpaceDE w:val="0"/>
        <w:autoSpaceDN w:val="0"/>
        <w:adjustRightInd w:val="0"/>
        <w:spacing w:after="0" w:line="240" w:lineRule="auto"/>
        <w:rPr>
          <w:rFonts w:ascii="TTC0t00" w:hAnsi="TTC0t00" w:cs="TTC0t00"/>
        </w:rPr>
      </w:pPr>
      <w:r w:rsidRPr="00345574">
        <w:rPr>
          <w:rFonts w:ascii="TTC0t00" w:hAnsi="TTC0t00" w:cs="TTC0t00"/>
        </w:rPr>
        <w:t>safeguarding policy and accompanying procedures. We want The Civic to be a safe, inviting,</w:t>
      </w:r>
    </w:p>
    <w:p w14:paraId="67DBA537" w14:textId="35956AB6" w:rsidR="00737514" w:rsidRPr="00345574" w:rsidRDefault="00737514" w:rsidP="00737514">
      <w:pPr>
        <w:pStyle w:val="ListParagraph"/>
        <w:ind w:left="0"/>
        <w:jc w:val="both"/>
        <w:rPr>
          <w:rFonts w:ascii="TTC0t00" w:hAnsi="TTC0t00" w:cs="TTC0t00"/>
        </w:rPr>
      </w:pPr>
      <w:r w:rsidRPr="00345574">
        <w:rPr>
          <w:rFonts w:ascii="TTC0t00" w:hAnsi="TTC0t00" w:cs="TTC0t00"/>
        </w:rPr>
        <w:t>open, inclusive, professional place for everyone.</w:t>
      </w:r>
    </w:p>
    <w:p w14:paraId="00F0CA50" w14:textId="6303011D" w:rsidR="00E9772E" w:rsidRPr="00345574" w:rsidRDefault="00345574" w:rsidP="00E9772E">
      <w:pPr>
        <w:pStyle w:val="ListParagraph"/>
        <w:ind w:left="0"/>
        <w:jc w:val="both"/>
        <w:rPr>
          <w:u w:val="single"/>
        </w:rPr>
      </w:pPr>
      <w:r w:rsidRPr="00345574">
        <w:rPr>
          <w:u w:val="single"/>
        </w:rPr>
        <w:tab/>
      </w:r>
      <w:r w:rsidRPr="00345574">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3F1741" w14:textId="43BC09AA" w:rsidR="00E9772E" w:rsidRPr="0055259B" w:rsidRDefault="00E9772E" w:rsidP="00E9772E">
      <w:pPr>
        <w:pStyle w:val="ListParagraph"/>
        <w:numPr>
          <w:ilvl w:val="0"/>
          <w:numId w:val="1"/>
        </w:numPr>
        <w:jc w:val="both"/>
        <w:rPr>
          <w:b/>
        </w:rPr>
      </w:pPr>
      <w:r w:rsidRPr="0055259B">
        <w:rPr>
          <w:b/>
        </w:rPr>
        <w:t xml:space="preserve"> Risk Assessment.</w:t>
      </w:r>
    </w:p>
    <w:p w14:paraId="1FCB8950" w14:textId="5E5F91A3" w:rsidR="00E9772E" w:rsidRPr="00345574" w:rsidRDefault="00E9772E" w:rsidP="00E9772E">
      <w:pPr>
        <w:pStyle w:val="ListParagraph"/>
        <w:ind w:left="360"/>
        <w:jc w:val="both"/>
      </w:pPr>
    </w:p>
    <w:p w14:paraId="1362F04F" w14:textId="084C0170" w:rsidR="00E9772E" w:rsidRPr="00345574" w:rsidRDefault="00E9772E" w:rsidP="00E9772E">
      <w:pPr>
        <w:pStyle w:val="ListParagraph"/>
        <w:ind w:left="360"/>
        <w:jc w:val="both"/>
      </w:pPr>
      <w:r w:rsidRPr="00345574">
        <w:t>We have carried out an assessment of any potential for harm to a child while availing of our services.  Below is a list of the areas of risk identified and the list of procedures for managing these risks.</w:t>
      </w:r>
    </w:p>
    <w:p w14:paraId="66DFE9F2" w14:textId="371ED4F6" w:rsidR="00E9772E" w:rsidRPr="00345574" w:rsidRDefault="00E9772E" w:rsidP="00E9772E">
      <w:pPr>
        <w:pStyle w:val="ListParagraph"/>
        <w:ind w:left="360"/>
        <w:jc w:val="both"/>
      </w:pPr>
    </w:p>
    <w:tbl>
      <w:tblPr>
        <w:tblStyle w:val="TableGrid"/>
        <w:tblW w:w="0" w:type="auto"/>
        <w:tblInd w:w="360" w:type="dxa"/>
        <w:tblLook w:val="04A0" w:firstRow="1" w:lastRow="0" w:firstColumn="1" w:lastColumn="0" w:noHBand="0" w:noVBand="1"/>
      </w:tblPr>
      <w:tblGrid>
        <w:gridCol w:w="486"/>
        <w:gridCol w:w="3260"/>
        <w:gridCol w:w="4910"/>
      </w:tblGrid>
      <w:tr w:rsidR="00E9772E" w:rsidRPr="00345574" w14:paraId="236FF900" w14:textId="77777777" w:rsidTr="00F95ECE">
        <w:tc>
          <w:tcPr>
            <w:tcW w:w="486" w:type="dxa"/>
            <w:shd w:val="clear" w:color="auto" w:fill="000000" w:themeFill="text1"/>
          </w:tcPr>
          <w:p w14:paraId="023FECEA" w14:textId="2492B904" w:rsidR="00E9772E" w:rsidRPr="00345574" w:rsidRDefault="00E9772E" w:rsidP="00E9772E">
            <w:pPr>
              <w:pStyle w:val="ListParagraph"/>
              <w:ind w:left="0"/>
              <w:jc w:val="both"/>
            </w:pPr>
          </w:p>
        </w:tc>
        <w:tc>
          <w:tcPr>
            <w:tcW w:w="3260" w:type="dxa"/>
            <w:shd w:val="clear" w:color="auto" w:fill="000000" w:themeFill="text1"/>
          </w:tcPr>
          <w:p w14:paraId="69708641" w14:textId="7654DC45" w:rsidR="00E9772E" w:rsidRPr="00345574" w:rsidRDefault="00737514" w:rsidP="00E9772E">
            <w:pPr>
              <w:pStyle w:val="ListParagraph"/>
              <w:ind w:left="0"/>
              <w:jc w:val="both"/>
            </w:pPr>
            <w:r w:rsidRPr="00345574">
              <w:t>Risk Identified</w:t>
            </w:r>
          </w:p>
        </w:tc>
        <w:tc>
          <w:tcPr>
            <w:tcW w:w="4910" w:type="dxa"/>
            <w:shd w:val="clear" w:color="auto" w:fill="000000" w:themeFill="text1"/>
          </w:tcPr>
          <w:p w14:paraId="1CDB4843" w14:textId="68807F84" w:rsidR="00E9772E" w:rsidRPr="00345574" w:rsidRDefault="00737514" w:rsidP="00E9772E">
            <w:pPr>
              <w:pStyle w:val="ListParagraph"/>
              <w:ind w:left="0"/>
              <w:jc w:val="both"/>
            </w:pPr>
            <w:r w:rsidRPr="00345574">
              <w:t xml:space="preserve">Procedure in place </w:t>
            </w:r>
            <w:r w:rsidR="0055259B" w:rsidRPr="00345574">
              <w:t>to</w:t>
            </w:r>
            <w:r w:rsidRPr="00345574">
              <w:t xml:space="preserve"> manage risk identified</w:t>
            </w:r>
          </w:p>
        </w:tc>
      </w:tr>
      <w:tr w:rsidR="00E9772E" w:rsidRPr="00345574" w14:paraId="6F9D63C9" w14:textId="77777777" w:rsidTr="00737514">
        <w:tc>
          <w:tcPr>
            <w:tcW w:w="486" w:type="dxa"/>
          </w:tcPr>
          <w:p w14:paraId="19B0337E" w14:textId="31B0E538" w:rsidR="00E9772E" w:rsidRPr="00345574" w:rsidRDefault="00F95ECE" w:rsidP="00E9772E">
            <w:pPr>
              <w:pStyle w:val="ListParagraph"/>
              <w:ind w:left="0"/>
              <w:jc w:val="both"/>
            </w:pPr>
            <w:r w:rsidRPr="00345574">
              <w:t>1</w:t>
            </w:r>
          </w:p>
        </w:tc>
        <w:tc>
          <w:tcPr>
            <w:tcW w:w="3260" w:type="dxa"/>
          </w:tcPr>
          <w:p w14:paraId="4B81218C" w14:textId="77777777" w:rsidR="00737514" w:rsidRPr="00345574" w:rsidRDefault="00737514" w:rsidP="00737514">
            <w:pPr>
              <w:autoSpaceDE w:val="0"/>
              <w:autoSpaceDN w:val="0"/>
              <w:adjustRightInd w:val="0"/>
              <w:rPr>
                <w:rFonts w:ascii="TTC0t00" w:hAnsi="TTC0t00" w:cs="TTC0t00"/>
              </w:rPr>
            </w:pPr>
            <w:r w:rsidRPr="00345574">
              <w:rPr>
                <w:rFonts w:ascii="TTC0t00" w:hAnsi="TTC0t00" w:cs="TTC0t00"/>
              </w:rPr>
              <w:t>Risk of harm not noted by The</w:t>
            </w:r>
          </w:p>
          <w:p w14:paraId="33F0C842" w14:textId="13DD6555" w:rsidR="00737514" w:rsidRPr="00345574" w:rsidRDefault="00737514" w:rsidP="00737514">
            <w:pPr>
              <w:autoSpaceDE w:val="0"/>
              <w:autoSpaceDN w:val="0"/>
              <w:adjustRightInd w:val="0"/>
              <w:rPr>
                <w:rFonts w:ascii="TTC0t00" w:hAnsi="TTC0t00" w:cs="TTC0t00"/>
              </w:rPr>
            </w:pPr>
            <w:r w:rsidRPr="00345574">
              <w:rPr>
                <w:rFonts w:ascii="TTC0t00" w:hAnsi="TTC0t00" w:cs="TTC0t00"/>
              </w:rPr>
              <w:t>Wexford Arts Centre</w:t>
            </w:r>
            <w:r w:rsidRPr="00345574">
              <w:rPr>
                <w:rFonts w:ascii="TTC0t00" w:hAnsi="TTC0t00" w:cs="TTC0t00"/>
              </w:rPr>
              <w:t xml:space="preserve"> Personnel: board members,</w:t>
            </w:r>
          </w:p>
          <w:p w14:paraId="373F61FF" w14:textId="77777777" w:rsidR="00737514" w:rsidRPr="00345574" w:rsidRDefault="00737514" w:rsidP="00737514">
            <w:pPr>
              <w:autoSpaceDE w:val="0"/>
              <w:autoSpaceDN w:val="0"/>
              <w:adjustRightInd w:val="0"/>
              <w:rPr>
                <w:rFonts w:ascii="TTC0t00" w:hAnsi="TTC0t00" w:cs="TTC0t00"/>
              </w:rPr>
            </w:pPr>
            <w:r w:rsidRPr="00345574">
              <w:rPr>
                <w:rFonts w:ascii="TTC0t00" w:hAnsi="TTC0t00" w:cs="TTC0t00"/>
              </w:rPr>
              <w:t>staff members, workshop</w:t>
            </w:r>
          </w:p>
          <w:p w14:paraId="159F3B32" w14:textId="77777777" w:rsidR="00737514" w:rsidRPr="00345574" w:rsidRDefault="00737514" w:rsidP="00737514">
            <w:pPr>
              <w:autoSpaceDE w:val="0"/>
              <w:autoSpaceDN w:val="0"/>
              <w:adjustRightInd w:val="0"/>
              <w:rPr>
                <w:rFonts w:ascii="TTC0t00" w:hAnsi="TTC0t00" w:cs="TTC0t00"/>
              </w:rPr>
            </w:pPr>
            <w:r w:rsidRPr="00345574">
              <w:rPr>
                <w:rFonts w:ascii="TTC0t00" w:hAnsi="TTC0t00" w:cs="TTC0t00"/>
              </w:rPr>
              <w:t>facilitators, board of</w:t>
            </w:r>
          </w:p>
          <w:p w14:paraId="17B42EFC" w14:textId="18AEB28D" w:rsidR="00E9772E" w:rsidRPr="00345574" w:rsidRDefault="00737514" w:rsidP="00737514">
            <w:pPr>
              <w:pStyle w:val="ListParagraph"/>
              <w:ind w:left="0"/>
              <w:jc w:val="both"/>
            </w:pPr>
            <w:r w:rsidRPr="00345574">
              <w:rPr>
                <w:rFonts w:ascii="TTC0t00" w:hAnsi="TTC0t00" w:cs="TTC0t00"/>
              </w:rPr>
              <w:t>management.</w:t>
            </w:r>
          </w:p>
        </w:tc>
        <w:tc>
          <w:tcPr>
            <w:tcW w:w="4910" w:type="dxa"/>
          </w:tcPr>
          <w:p w14:paraId="767B3496" w14:textId="7FD14839" w:rsidR="00E9772E" w:rsidRPr="00345574" w:rsidRDefault="00737514" w:rsidP="00E95BEC">
            <w:pPr>
              <w:autoSpaceDE w:val="0"/>
              <w:autoSpaceDN w:val="0"/>
              <w:adjustRightInd w:val="0"/>
              <w:rPr>
                <w:rFonts w:ascii="TTC0t00" w:hAnsi="TTC0t00" w:cs="TTC0t00"/>
              </w:rPr>
            </w:pPr>
            <w:r w:rsidRPr="00345574">
              <w:rPr>
                <w:rFonts w:ascii="TTC0t00" w:hAnsi="TTC0t00" w:cs="TTC0t00"/>
              </w:rPr>
              <w:t xml:space="preserve">Introduce all board/staff to </w:t>
            </w:r>
            <w:r w:rsidRPr="00345574">
              <w:rPr>
                <w:rFonts w:ascii="TTC0t00" w:hAnsi="TTC0t00" w:cs="TTC0t00"/>
              </w:rPr>
              <w:t>the Wexford Arts Centre</w:t>
            </w:r>
            <w:r w:rsidRPr="00345574">
              <w:rPr>
                <w:rFonts w:ascii="TTC0t00" w:hAnsi="TTC0t00" w:cs="TTC0t00"/>
              </w:rPr>
              <w:t xml:space="preserve"> Child</w:t>
            </w:r>
            <w:r w:rsidR="00F95ECE" w:rsidRPr="00345574">
              <w:rPr>
                <w:rFonts w:ascii="TTC0t00" w:hAnsi="TTC0t00" w:cs="TTC0t00"/>
              </w:rPr>
              <w:t xml:space="preserve"> </w:t>
            </w:r>
            <w:r w:rsidRPr="00345574">
              <w:rPr>
                <w:rFonts w:ascii="TTC0t00" w:hAnsi="TTC0t00" w:cs="TTC0t00"/>
              </w:rPr>
              <w:t>Safeguarding Policy; roles, reporting procedures and</w:t>
            </w:r>
            <w:r w:rsidR="00E95BEC" w:rsidRPr="00345574">
              <w:rPr>
                <w:rFonts w:ascii="TTC0t00" w:hAnsi="TTC0t00" w:cs="TTC0t00"/>
              </w:rPr>
              <w:t xml:space="preserve"> </w:t>
            </w:r>
            <w:r w:rsidRPr="00345574">
              <w:rPr>
                <w:rFonts w:ascii="TTC0t00" w:hAnsi="TTC0t00" w:cs="TTC0t00"/>
              </w:rPr>
              <w:t>codes of behaviour. Provision of child safeguarding</w:t>
            </w:r>
            <w:r w:rsidR="00E95BEC" w:rsidRPr="00345574">
              <w:rPr>
                <w:rFonts w:ascii="TTC0t00" w:hAnsi="TTC0t00" w:cs="TTC0t00"/>
              </w:rPr>
              <w:t xml:space="preserve"> </w:t>
            </w:r>
            <w:r w:rsidRPr="00345574">
              <w:rPr>
                <w:rFonts w:ascii="TTC0t00" w:hAnsi="TTC0t00" w:cs="TTC0t00"/>
              </w:rPr>
              <w:t>training provided by</w:t>
            </w:r>
            <w:r w:rsidR="00E95BEC" w:rsidRPr="00345574">
              <w:rPr>
                <w:rFonts w:ascii="TTC0t00" w:hAnsi="TTC0t00" w:cs="TTC0t00"/>
              </w:rPr>
              <w:t xml:space="preserve"> Wexford Arts Centre</w:t>
            </w:r>
            <w:r w:rsidRPr="00345574">
              <w:rPr>
                <w:rFonts w:ascii="TTC0t00" w:hAnsi="TTC0t00" w:cs="TTC0t00"/>
              </w:rPr>
              <w:t xml:space="preserve"> as part of induction</w:t>
            </w:r>
            <w:r w:rsidR="00E95BEC" w:rsidRPr="00345574">
              <w:rPr>
                <w:rFonts w:ascii="TTC0t00" w:hAnsi="TTC0t00" w:cs="TTC0t00"/>
              </w:rPr>
              <w:t>.</w:t>
            </w:r>
          </w:p>
        </w:tc>
      </w:tr>
      <w:tr w:rsidR="00E9772E" w:rsidRPr="00345574" w14:paraId="24742B35" w14:textId="77777777" w:rsidTr="00737514">
        <w:tc>
          <w:tcPr>
            <w:tcW w:w="486" w:type="dxa"/>
          </w:tcPr>
          <w:p w14:paraId="040A1B9F" w14:textId="0CCF7F79" w:rsidR="00E9772E" w:rsidRPr="00345574" w:rsidRDefault="00F95ECE" w:rsidP="00E9772E">
            <w:pPr>
              <w:pStyle w:val="ListParagraph"/>
              <w:ind w:left="0"/>
              <w:jc w:val="both"/>
            </w:pPr>
            <w:r w:rsidRPr="00345574">
              <w:t>2</w:t>
            </w:r>
          </w:p>
        </w:tc>
        <w:tc>
          <w:tcPr>
            <w:tcW w:w="3260" w:type="dxa"/>
          </w:tcPr>
          <w:p w14:paraId="7095C7A7" w14:textId="10322FC0"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Risk of harm not being reported</w:t>
            </w:r>
          </w:p>
          <w:p w14:paraId="3D195205"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properly or in good time by The</w:t>
            </w:r>
          </w:p>
          <w:p w14:paraId="0F6C6981"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Civic Staff</w:t>
            </w:r>
          </w:p>
          <w:p w14:paraId="12D25125" w14:textId="4D182B9D" w:rsidR="00E9772E" w:rsidRPr="00345574" w:rsidRDefault="00E95BEC" w:rsidP="00E95BEC">
            <w:pPr>
              <w:pStyle w:val="ListParagraph"/>
              <w:ind w:left="0"/>
              <w:jc w:val="both"/>
            </w:pPr>
            <w:r w:rsidRPr="00345574">
              <w:rPr>
                <w:rFonts w:ascii="TTC0t00" w:hAnsi="TTC0t00" w:cs="TTC0t00"/>
                <w:color w:val="000000"/>
              </w:rPr>
              <w:t>or facilitators.</w:t>
            </w:r>
          </w:p>
        </w:tc>
        <w:tc>
          <w:tcPr>
            <w:tcW w:w="4910" w:type="dxa"/>
          </w:tcPr>
          <w:p w14:paraId="5041D441"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Staff and facilitators are aware of the role of the</w:t>
            </w:r>
          </w:p>
          <w:p w14:paraId="0878AB57" w14:textId="4C43AE86"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Mandated Person (</w:t>
            </w:r>
            <w:r w:rsidR="00F95ECE" w:rsidRPr="00345574">
              <w:rPr>
                <w:rFonts w:ascii="TTC0t00" w:hAnsi="TTC0t00" w:cs="TTC0t00"/>
                <w:color w:val="000000"/>
              </w:rPr>
              <w:t>Visual Art Manager/Administration Manager</w:t>
            </w:r>
            <w:r w:rsidRPr="00345574">
              <w:rPr>
                <w:rFonts w:ascii="TTC0t00" w:hAnsi="TTC0t00" w:cs="TTC0t00"/>
                <w:color w:val="000000"/>
              </w:rPr>
              <w:t>), and receive</w:t>
            </w:r>
          </w:p>
          <w:p w14:paraId="297FBCA1" w14:textId="15C46127" w:rsidR="00E9772E" w:rsidRPr="00345574" w:rsidRDefault="00E95BEC" w:rsidP="00345574">
            <w:pPr>
              <w:autoSpaceDE w:val="0"/>
              <w:autoSpaceDN w:val="0"/>
              <w:adjustRightInd w:val="0"/>
              <w:rPr>
                <w:rFonts w:ascii="TTC0t00" w:hAnsi="TTC0t00" w:cs="TTC0t00"/>
                <w:color w:val="000000"/>
              </w:rPr>
            </w:pPr>
            <w:r w:rsidRPr="00345574">
              <w:rPr>
                <w:rFonts w:ascii="TTC0t00" w:hAnsi="TTC0t00" w:cs="TTC0t00"/>
                <w:color w:val="000000"/>
              </w:rPr>
              <w:t>training in child safeguarding concerns and levels of</w:t>
            </w:r>
            <w:r w:rsidR="00F95ECE" w:rsidRPr="00345574">
              <w:rPr>
                <w:rFonts w:ascii="TTC0t00" w:hAnsi="TTC0t00" w:cs="TTC0t00"/>
                <w:color w:val="000000"/>
              </w:rPr>
              <w:t xml:space="preserve"> </w:t>
            </w:r>
            <w:r w:rsidRPr="00345574">
              <w:rPr>
                <w:rFonts w:ascii="TTC0t00" w:hAnsi="TTC0t00" w:cs="TTC0t00"/>
                <w:color w:val="000000"/>
              </w:rPr>
              <w:t>concern for reporting.</w:t>
            </w:r>
          </w:p>
        </w:tc>
      </w:tr>
      <w:tr w:rsidR="00E9772E" w:rsidRPr="00345574" w14:paraId="209CF9DA" w14:textId="77777777" w:rsidTr="00737514">
        <w:tc>
          <w:tcPr>
            <w:tcW w:w="486" w:type="dxa"/>
          </w:tcPr>
          <w:p w14:paraId="17AA4502" w14:textId="077784B3" w:rsidR="00E9772E" w:rsidRPr="00345574" w:rsidRDefault="00F95ECE" w:rsidP="00E9772E">
            <w:pPr>
              <w:pStyle w:val="ListParagraph"/>
              <w:ind w:left="0"/>
              <w:jc w:val="both"/>
            </w:pPr>
            <w:r w:rsidRPr="00345574">
              <w:t>3</w:t>
            </w:r>
          </w:p>
        </w:tc>
        <w:tc>
          <w:tcPr>
            <w:tcW w:w="3260" w:type="dxa"/>
          </w:tcPr>
          <w:p w14:paraId="4950B584"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Risk of young person being</w:t>
            </w:r>
          </w:p>
          <w:p w14:paraId="3850711B"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lastRenderedPageBreak/>
              <w:t>harmed by The Civic staff or</w:t>
            </w:r>
          </w:p>
          <w:p w14:paraId="010FDEB9"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facilitators.</w:t>
            </w:r>
          </w:p>
          <w:p w14:paraId="7A260C67" w14:textId="77777777" w:rsidR="00E9772E" w:rsidRPr="00345574" w:rsidRDefault="00E9772E" w:rsidP="00E9772E">
            <w:pPr>
              <w:pStyle w:val="ListParagraph"/>
              <w:ind w:left="0"/>
              <w:jc w:val="both"/>
            </w:pPr>
          </w:p>
        </w:tc>
        <w:tc>
          <w:tcPr>
            <w:tcW w:w="4910" w:type="dxa"/>
          </w:tcPr>
          <w:p w14:paraId="4D154099" w14:textId="7B419E04"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lastRenderedPageBreak/>
              <w:t xml:space="preserve">Safe recruitment procedures </w:t>
            </w:r>
            <w:r w:rsidR="0055259B" w:rsidRPr="00345574">
              <w:rPr>
                <w:rFonts w:ascii="TTC0t00" w:hAnsi="TTC0t00" w:cs="TTC0t00"/>
                <w:color w:val="000000"/>
              </w:rPr>
              <w:t>involve</w:t>
            </w:r>
            <w:r w:rsidRPr="00345574">
              <w:rPr>
                <w:rFonts w:ascii="TTC0t00" w:hAnsi="TTC0t00" w:cs="TTC0t00"/>
                <w:color w:val="000000"/>
              </w:rPr>
              <w:t xml:space="preserve">: </w:t>
            </w:r>
            <w:r w:rsidR="00F95ECE" w:rsidRPr="00345574">
              <w:rPr>
                <w:rFonts w:ascii="TTC0t00" w:hAnsi="TTC0t00" w:cs="TTC0t00"/>
                <w:color w:val="000000"/>
              </w:rPr>
              <w:t xml:space="preserve"> </w:t>
            </w:r>
            <w:r w:rsidRPr="00345574">
              <w:rPr>
                <w:rFonts w:ascii="TTC0t00" w:hAnsi="TTC0t00" w:cs="TTC0t00"/>
                <w:color w:val="000000"/>
              </w:rPr>
              <w:t>Taking all</w:t>
            </w:r>
          </w:p>
          <w:p w14:paraId="435C0FE3"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lastRenderedPageBreak/>
              <w:t>reasonable steps to eliminate people who are not</w:t>
            </w:r>
          </w:p>
          <w:p w14:paraId="7D39DA50" w14:textId="2EA0D8B6"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suitable for working with children; and insisting all</w:t>
            </w:r>
            <w:r w:rsidRPr="00345574">
              <w:rPr>
                <w:rFonts w:ascii="TTC0t00" w:hAnsi="TTC0t00" w:cs="TTC0t00"/>
                <w:color w:val="000000"/>
              </w:rPr>
              <w:t xml:space="preserve"> </w:t>
            </w:r>
            <w:r w:rsidRPr="00345574">
              <w:rPr>
                <w:rFonts w:ascii="TTC0t00" w:hAnsi="TTC0t00" w:cs="TTC0t00"/>
                <w:color w:val="000000"/>
              </w:rPr>
              <w:t>staff</w:t>
            </w:r>
            <w:r w:rsidRPr="00345574">
              <w:rPr>
                <w:rFonts w:ascii="TTC0t00" w:hAnsi="TTC0t00" w:cs="TTC0t00"/>
                <w:color w:val="000000"/>
              </w:rPr>
              <w:t xml:space="preserve"> working with children</w:t>
            </w:r>
            <w:r w:rsidRPr="00345574">
              <w:rPr>
                <w:rFonts w:ascii="TTC0t00" w:hAnsi="TTC0t00" w:cs="TTC0t00"/>
                <w:color w:val="000000"/>
              </w:rPr>
              <w:t xml:space="preserve"> are Garda vetted. Provide training on our child</w:t>
            </w:r>
          </w:p>
          <w:p w14:paraId="20B6D1D7" w14:textId="28C2118C" w:rsidR="00E9772E" w:rsidRPr="00345574" w:rsidRDefault="00E95BEC" w:rsidP="00F95ECE">
            <w:pPr>
              <w:autoSpaceDE w:val="0"/>
              <w:autoSpaceDN w:val="0"/>
              <w:adjustRightInd w:val="0"/>
              <w:rPr>
                <w:rFonts w:ascii="TTC0t00" w:hAnsi="TTC0t00" w:cs="TTC0t00"/>
                <w:color w:val="000000"/>
              </w:rPr>
            </w:pPr>
            <w:r w:rsidRPr="00345574">
              <w:rPr>
                <w:rFonts w:ascii="TTC0t00" w:hAnsi="TTC0t00" w:cs="TTC0t00"/>
                <w:color w:val="000000"/>
              </w:rPr>
              <w:t>safeguarding policy. All staff/facilitators to rea</w:t>
            </w:r>
            <w:r w:rsidRPr="00345574">
              <w:rPr>
                <w:rFonts w:ascii="TTC0t00" w:hAnsi="TTC0t00" w:cs="TTC0t00"/>
                <w:color w:val="000000"/>
              </w:rPr>
              <w:t>d and comply with Child Safeguarding policy and procedures.</w:t>
            </w:r>
            <w:r w:rsidR="00F95ECE" w:rsidRPr="00345574">
              <w:rPr>
                <w:rFonts w:ascii="TTC0t00" w:hAnsi="TTC0t00" w:cs="TTC0t00"/>
                <w:color w:val="000000"/>
              </w:rPr>
              <w:t xml:space="preserve">  </w:t>
            </w:r>
            <w:r w:rsidRPr="00345574">
              <w:rPr>
                <w:rFonts w:ascii="TTC0t00" w:hAnsi="TTC0t00" w:cs="TTC0t00"/>
                <w:color w:val="000000"/>
              </w:rPr>
              <w:t>Children</w:t>
            </w:r>
            <w:r w:rsidRPr="00345574">
              <w:rPr>
                <w:rFonts w:ascii="TTC0t00" w:hAnsi="TTC0t00" w:cs="TTC0t00"/>
                <w:color w:val="000000"/>
              </w:rPr>
              <w:t xml:space="preserve"> </w:t>
            </w:r>
            <w:r w:rsidRPr="00345574">
              <w:rPr>
                <w:rFonts w:ascii="TTC0t00" w:hAnsi="TTC0t00" w:cs="TTC0t00"/>
                <w:color w:val="000000"/>
              </w:rPr>
              <w:t>and young people never to be left alone with an adult</w:t>
            </w:r>
            <w:r w:rsidRPr="00345574">
              <w:rPr>
                <w:rFonts w:ascii="TTC0t00" w:hAnsi="TTC0t00" w:cs="TTC0t00"/>
                <w:color w:val="000000"/>
              </w:rPr>
              <w:t xml:space="preserve"> </w:t>
            </w:r>
            <w:r w:rsidRPr="00345574">
              <w:rPr>
                <w:rFonts w:ascii="TTC0t00" w:hAnsi="TTC0t00" w:cs="TTC0t00"/>
                <w:color w:val="000000"/>
              </w:rPr>
              <w:t>in the building, two adult policy in place when</w:t>
            </w:r>
            <w:r w:rsidRPr="00345574">
              <w:rPr>
                <w:rFonts w:ascii="TTC0t00" w:hAnsi="TTC0t00" w:cs="TTC0t00"/>
                <w:color w:val="000000"/>
              </w:rPr>
              <w:t xml:space="preserve"> </w:t>
            </w:r>
            <w:r w:rsidRPr="00345574">
              <w:rPr>
                <w:rFonts w:ascii="TTC0t00" w:hAnsi="TTC0t00" w:cs="TTC0t00"/>
                <w:color w:val="000000"/>
              </w:rPr>
              <w:t>children are in the building.</w:t>
            </w:r>
          </w:p>
        </w:tc>
      </w:tr>
      <w:tr w:rsidR="00E95BEC" w:rsidRPr="00345574" w14:paraId="135B83B8" w14:textId="77777777" w:rsidTr="00737514">
        <w:tc>
          <w:tcPr>
            <w:tcW w:w="486" w:type="dxa"/>
          </w:tcPr>
          <w:p w14:paraId="7091CA19" w14:textId="6E92F70A" w:rsidR="00E95BEC" w:rsidRPr="00345574" w:rsidRDefault="00F95ECE" w:rsidP="00E9772E">
            <w:pPr>
              <w:pStyle w:val="ListParagraph"/>
              <w:ind w:left="0"/>
              <w:jc w:val="both"/>
            </w:pPr>
            <w:r w:rsidRPr="00345574">
              <w:lastRenderedPageBreak/>
              <w:t>4</w:t>
            </w:r>
          </w:p>
        </w:tc>
        <w:tc>
          <w:tcPr>
            <w:tcW w:w="3260" w:type="dxa"/>
          </w:tcPr>
          <w:p w14:paraId="24030A22" w14:textId="0A3D1E13"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Risk of harm due to bullying of a</w:t>
            </w:r>
            <w:r w:rsidRPr="00345574">
              <w:rPr>
                <w:rFonts w:ascii="TTC0t00" w:hAnsi="TTC0t00" w:cs="TTC0t00"/>
                <w:color w:val="000000"/>
              </w:rPr>
              <w:t xml:space="preserve"> </w:t>
            </w:r>
            <w:r w:rsidRPr="00345574">
              <w:rPr>
                <w:rFonts w:ascii="TTC0t00" w:hAnsi="TTC0t00" w:cs="TTC0t00"/>
                <w:color w:val="000000"/>
              </w:rPr>
              <w:t>young person</w:t>
            </w:r>
          </w:p>
        </w:tc>
        <w:tc>
          <w:tcPr>
            <w:tcW w:w="4910" w:type="dxa"/>
          </w:tcPr>
          <w:p w14:paraId="10B194B1" w14:textId="77777777"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Our policy outlines what constitutes bullying and</w:t>
            </w:r>
          </w:p>
          <w:p w14:paraId="23A8874E" w14:textId="2B12CDC2" w:rsidR="00E95BEC" w:rsidRPr="00345574" w:rsidRDefault="00E95BEC" w:rsidP="00E95BEC">
            <w:pPr>
              <w:autoSpaceDE w:val="0"/>
              <w:autoSpaceDN w:val="0"/>
              <w:adjustRightInd w:val="0"/>
              <w:rPr>
                <w:rFonts w:ascii="TTC0t00" w:hAnsi="TTC0t00" w:cs="TTC0t00"/>
                <w:color w:val="000000"/>
              </w:rPr>
            </w:pPr>
            <w:r w:rsidRPr="00345574">
              <w:rPr>
                <w:rFonts w:ascii="TTC0t00" w:hAnsi="TTC0t00" w:cs="TTC0t00"/>
                <w:color w:val="000000"/>
              </w:rPr>
              <w:t>harassment, who to make a complaint to and what</w:t>
            </w:r>
            <w:r w:rsidR="00F95ECE" w:rsidRPr="00345574">
              <w:rPr>
                <w:rFonts w:ascii="TTC0t00" w:hAnsi="TTC0t00" w:cs="TTC0t00"/>
                <w:color w:val="000000"/>
              </w:rPr>
              <w:t xml:space="preserve"> </w:t>
            </w:r>
            <w:r w:rsidRPr="00345574">
              <w:rPr>
                <w:rFonts w:ascii="TTC0t00" w:hAnsi="TTC0t00" w:cs="TTC0t00"/>
                <w:color w:val="000000"/>
              </w:rPr>
              <w:t>action the company will take in dealing with an</w:t>
            </w:r>
            <w:r w:rsidR="00F95ECE" w:rsidRPr="00345574">
              <w:rPr>
                <w:rFonts w:ascii="TTC0t00" w:hAnsi="TTC0t00" w:cs="TTC0t00"/>
                <w:color w:val="000000"/>
              </w:rPr>
              <w:t xml:space="preserve"> </w:t>
            </w:r>
            <w:r w:rsidRPr="00345574">
              <w:rPr>
                <w:rFonts w:ascii="TTC0t00" w:hAnsi="TTC0t00" w:cs="TTC0t00"/>
                <w:color w:val="000000"/>
              </w:rPr>
              <w:t>offence of this nature.</w:t>
            </w:r>
          </w:p>
        </w:tc>
      </w:tr>
      <w:tr w:rsidR="00BC0449" w:rsidRPr="00345574" w14:paraId="526F2953" w14:textId="77777777" w:rsidTr="00737514">
        <w:tc>
          <w:tcPr>
            <w:tcW w:w="486" w:type="dxa"/>
          </w:tcPr>
          <w:p w14:paraId="1E5F24EB" w14:textId="2C3E8CA3" w:rsidR="00BC0449" w:rsidRPr="00345574" w:rsidRDefault="00F95ECE" w:rsidP="00E9772E">
            <w:pPr>
              <w:pStyle w:val="ListParagraph"/>
              <w:ind w:left="0"/>
              <w:jc w:val="both"/>
            </w:pPr>
            <w:r w:rsidRPr="00345574">
              <w:t>5</w:t>
            </w:r>
          </w:p>
        </w:tc>
        <w:tc>
          <w:tcPr>
            <w:tcW w:w="3260" w:type="dxa"/>
          </w:tcPr>
          <w:p w14:paraId="654BD691" w14:textId="7256CCCD"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Risk of harm due to inadequate</w:t>
            </w:r>
          </w:p>
          <w:p w14:paraId="43180FEE" w14:textId="29735EA8"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supervision of young people</w:t>
            </w:r>
          </w:p>
        </w:tc>
        <w:tc>
          <w:tcPr>
            <w:tcW w:w="4910" w:type="dxa"/>
          </w:tcPr>
          <w:p w14:paraId="0D27FF05" w14:textId="5E6BB6A6"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Always having two adults present during events. 12+</w:t>
            </w:r>
            <w:r w:rsidR="00F95ECE" w:rsidRPr="00345574">
              <w:rPr>
                <w:rFonts w:ascii="TTC0t00" w:hAnsi="TTC0t00" w:cs="TTC0t00"/>
                <w:color w:val="000000"/>
              </w:rPr>
              <w:t xml:space="preserve"> </w:t>
            </w:r>
            <w:r w:rsidRPr="00345574">
              <w:rPr>
                <w:rFonts w:ascii="TTC0t00" w:hAnsi="TTC0t00" w:cs="TTC0t00"/>
                <w:color w:val="000000"/>
              </w:rPr>
              <w:t>children will be supervised by an increased ratio of</w:t>
            </w:r>
            <w:r w:rsidR="00F95ECE" w:rsidRPr="00345574">
              <w:rPr>
                <w:rFonts w:ascii="TTC0t00" w:hAnsi="TTC0t00" w:cs="TTC0t00"/>
                <w:color w:val="000000"/>
              </w:rPr>
              <w:t xml:space="preserve"> </w:t>
            </w:r>
            <w:r w:rsidR="0055259B" w:rsidRPr="00345574">
              <w:rPr>
                <w:rFonts w:ascii="TTC0t00" w:hAnsi="TTC0t00" w:cs="TTC0t00"/>
                <w:color w:val="000000"/>
              </w:rPr>
              <w:t>adults</w:t>
            </w:r>
            <w:r w:rsidRPr="00345574">
              <w:rPr>
                <w:rFonts w:ascii="TTC0t00" w:hAnsi="TTC0t00" w:cs="TTC0t00"/>
                <w:color w:val="000000"/>
              </w:rPr>
              <w:t>. Parents/guardians must always drop/collect</w:t>
            </w:r>
            <w:r w:rsidR="00F95ECE" w:rsidRPr="00345574">
              <w:rPr>
                <w:rFonts w:ascii="TTC0t00" w:hAnsi="TTC0t00" w:cs="TTC0t00"/>
                <w:color w:val="000000"/>
              </w:rPr>
              <w:t xml:space="preserve"> </w:t>
            </w:r>
            <w:r w:rsidRPr="00345574">
              <w:rPr>
                <w:rFonts w:ascii="TTC0t00" w:hAnsi="TTC0t00" w:cs="TTC0t00"/>
                <w:color w:val="000000"/>
              </w:rPr>
              <w:t>their children inside the building</w:t>
            </w:r>
          </w:p>
        </w:tc>
      </w:tr>
      <w:tr w:rsidR="00BC0449" w:rsidRPr="00345574" w14:paraId="082D0E0F" w14:textId="77777777" w:rsidTr="00737514">
        <w:tc>
          <w:tcPr>
            <w:tcW w:w="486" w:type="dxa"/>
          </w:tcPr>
          <w:p w14:paraId="3874A748" w14:textId="0E98DBF2" w:rsidR="00BC0449" w:rsidRPr="00345574" w:rsidRDefault="00F95ECE" w:rsidP="00E9772E">
            <w:pPr>
              <w:pStyle w:val="ListParagraph"/>
              <w:ind w:left="0"/>
              <w:jc w:val="both"/>
            </w:pPr>
            <w:r w:rsidRPr="00345574">
              <w:t>6</w:t>
            </w:r>
          </w:p>
        </w:tc>
        <w:tc>
          <w:tcPr>
            <w:tcW w:w="3260" w:type="dxa"/>
          </w:tcPr>
          <w:p w14:paraId="3CC24249" w14:textId="77777777"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Risk of harm due to inappropriate</w:t>
            </w:r>
          </w:p>
          <w:p w14:paraId="0375B633" w14:textId="77777777"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relationship/ communications</w:t>
            </w:r>
          </w:p>
          <w:p w14:paraId="6E425A15" w14:textId="29CFD8FB"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between adult staff members and</w:t>
            </w:r>
            <w:r w:rsidR="00F95ECE" w:rsidRPr="00345574">
              <w:rPr>
                <w:rFonts w:ascii="TTC0t00" w:hAnsi="TTC0t00" w:cs="TTC0t00"/>
                <w:color w:val="000000"/>
              </w:rPr>
              <w:t xml:space="preserve"> </w:t>
            </w:r>
            <w:r w:rsidRPr="00345574">
              <w:rPr>
                <w:rFonts w:ascii="TTC0t00" w:hAnsi="TTC0t00" w:cs="TTC0t00"/>
                <w:color w:val="000000"/>
              </w:rPr>
              <w:t>facilitators and a young person.</w:t>
            </w:r>
          </w:p>
        </w:tc>
        <w:tc>
          <w:tcPr>
            <w:tcW w:w="4910" w:type="dxa"/>
          </w:tcPr>
          <w:p w14:paraId="642F3A7E" w14:textId="2D68C34E"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Adults will never be alone with a child either in the</w:t>
            </w:r>
            <w:r w:rsidR="00F95ECE" w:rsidRPr="00345574">
              <w:rPr>
                <w:rFonts w:ascii="TTC0t00" w:hAnsi="TTC0t00" w:cs="TTC0t00"/>
                <w:color w:val="000000"/>
              </w:rPr>
              <w:t xml:space="preserve"> </w:t>
            </w:r>
            <w:r w:rsidRPr="00345574">
              <w:rPr>
                <w:rFonts w:ascii="TTC0t00" w:hAnsi="TTC0t00" w:cs="TTC0t00"/>
                <w:color w:val="000000"/>
              </w:rPr>
              <w:t>building or to give a lift to a child in a car.</w:t>
            </w:r>
          </w:p>
          <w:p w14:paraId="0286CB2C" w14:textId="77777777" w:rsidR="00BC0449" w:rsidRPr="00345574" w:rsidRDefault="00BC0449" w:rsidP="00BC0449">
            <w:pPr>
              <w:autoSpaceDE w:val="0"/>
              <w:autoSpaceDN w:val="0"/>
              <w:adjustRightInd w:val="0"/>
              <w:rPr>
                <w:rFonts w:ascii="TTC0t00" w:hAnsi="TTC0t00" w:cs="TTC0t00"/>
                <w:color w:val="000000"/>
              </w:rPr>
            </w:pPr>
          </w:p>
        </w:tc>
      </w:tr>
      <w:tr w:rsidR="00BC0449" w:rsidRPr="00345574" w14:paraId="3DFE0084" w14:textId="77777777" w:rsidTr="00737514">
        <w:tc>
          <w:tcPr>
            <w:tcW w:w="486" w:type="dxa"/>
          </w:tcPr>
          <w:p w14:paraId="56667025" w14:textId="768FECFF" w:rsidR="00BC0449" w:rsidRPr="00345574" w:rsidRDefault="00F95ECE" w:rsidP="00E9772E">
            <w:pPr>
              <w:pStyle w:val="ListParagraph"/>
              <w:ind w:left="0"/>
              <w:jc w:val="both"/>
            </w:pPr>
            <w:r w:rsidRPr="00345574">
              <w:t>7</w:t>
            </w:r>
          </w:p>
        </w:tc>
        <w:tc>
          <w:tcPr>
            <w:tcW w:w="3260" w:type="dxa"/>
          </w:tcPr>
          <w:p w14:paraId="7933DC32" w14:textId="77777777"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Risk of harm due to</w:t>
            </w:r>
          </w:p>
          <w:p w14:paraId="55935742" w14:textId="29989462" w:rsidR="00BC0449" w:rsidRPr="00345574" w:rsidRDefault="00BC0449" w:rsidP="00BC0449">
            <w:pPr>
              <w:autoSpaceDE w:val="0"/>
              <w:autoSpaceDN w:val="0"/>
              <w:adjustRightInd w:val="0"/>
              <w:rPr>
                <w:rFonts w:ascii="TTC0t00" w:hAnsi="TTC0t00" w:cs="TTC0t00"/>
                <w:color w:val="000000"/>
              </w:rPr>
            </w:pPr>
            <w:r w:rsidRPr="00345574">
              <w:rPr>
                <w:rFonts w:ascii="TTC0t00" w:hAnsi="TTC0t00" w:cs="TTC0t00"/>
                <w:color w:val="000000"/>
              </w:rPr>
              <w:t>inappropriate use of images of</w:t>
            </w:r>
            <w:r w:rsidR="00F95ECE" w:rsidRPr="00345574">
              <w:rPr>
                <w:rFonts w:ascii="TTC0t00" w:hAnsi="TTC0t00" w:cs="TTC0t00"/>
                <w:color w:val="000000"/>
              </w:rPr>
              <w:t xml:space="preserve"> young people.</w:t>
            </w:r>
          </w:p>
          <w:p w14:paraId="32E91535" w14:textId="77777777" w:rsidR="00BC0449" w:rsidRPr="00345574" w:rsidRDefault="00BC0449" w:rsidP="00F95ECE">
            <w:pPr>
              <w:autoSpaceDE w:val="0"/>
              <w:autoSpaceDN w:val="0"/>
              <w:adjustRightInd w:val="0"/>
              <w:rPr>
                <w:rFonts w:ascii="TTC0t00" w:hAnsi="TTC0t00" w:cs="TTC0t00"/>
                <w:color w:val="000000"/>
              </w:rPr>
            </w:pPr>
          </w:p>
        </w:tc>
        <w:tc>
          <w:tcPr>
            <w:tcW w:w="4910" w:type="dxa"/>
          </w:tcPr>
          <w:p w14:paraId="32DF5CF5" w14:textId="15F2F74D" w:rsidR="00BC0449" w:rsidRPr="00345574" w:rsidRDefault="00F95ECE" w:rsidP="00F95ECE">
            <w:r w:rsidRPr="00345574">
              <w:rPr>
                <w:rFonts w:ascii="TTC0t00" w:hAnsi="TTC0t00" w:cs="TTC0t00"/>
                <w:color w:val="000000"/>
              </w:rPr>
              <w:t xml:space="preserve">Images of any child or young person participating in activities organised by </w:t>
            </w:r>
            <w:r w:rsidRPr="00345574">
              <w:rPr>
                <w:rFonts w:ascii="TTC0t00" w:hAnsi="TTC0t00" w:cs="TTC0t00"/>
                <w:color w:val="000000"/>
              </w:rPr>
              <w:t>Wexford Arts Centre</w:t>
            </w:r>
            <w:r w:rsidRPr="00345574">
              <w:rPr>
                <w:rFonts w:ascii="TTC0t00" w:hAnsi="TTC0t00" w:cs="TTC0t00"/>
                <w:color w:val="000000"/>
              </w:rPr>
              <w:t xml:space="preserve"> will not be used for</w:t>
            </w:r>
            <w:r w:rsidRPr="00345574">
              <w:rPr>
                <w:rFonts w:ascii="TTC0t00" w:hAnsi="TTC0t00" w:cs="TTC0t00"/>
                <w:color w:val="000000"/>
              </w:rPr>
              <w:t xml:space="preserve"> </w:t>
            </w:r>
            <w:r w:rsidRPr="00345574">
              <w:rPr>
                <w:rFonts w:ascii="TTC0t00" w:hAnsi="TTC0t00" w:cs="TTC0t00"/>
              </w:rPr>
              <w:t>any reason without the consent of the</w:t>
            </w:r>
            <w:r w:rsidRPr="00345574">
              <w:rPr>
                <w:rFonts w:ascii="TTC0t00" w:hAnsi="TTC0t00" w:cs="TTC0t00"/>
              </w:rPr>
              <w:t xml:space="preserve"> </w:t>
            </w:r>
            <w:r w:rsidRPr="00345574">
              <w:rPr>
                <w:rFonts w:ascii="TTC0t00" w:hAnsi="TTC0t00" w:cs="TTC0t00"/>
              </w:rPr>
              <w:t>parent/caregiver.</w:t>
            </w:r>
          </w:p>
        </w:tc>
      </w:tr>
      <w:tr w:rsidR="00F95ECE" w:rsidRPr="00345574" w14:paraId="515F42BD" w14:textId="77777777" w:rsidTr="00737514">
        <w:tc>
          <w:tcPr>
            <w:tcW w:w="486" w:type="dxa"/>
          </w:tcPr>
          <w:p w14:paraId="312F9BEF" w14:textId="00505327" w:rsidR="00F95ECE" w:rsidRPr="00345574" w:rsidRDefault="00F95ECE" w:rsidP="00E9772E">
            <w:pPr>
              <w:pStyle w:val="ListParagraph"/>
              <w:ind w:left="0"/>
              <w:jc w:val="both"/>
            </w:pPr>
            <w:r w:rsidRPr="00345574">
              <w:t>8</w:t>
            </w:r>
          </w:p>
        </w:tc>
        <w:tc>
          <w:tcPr>
            <w:tcW w:w="3260" w:type="dxa"/>
          </w:tcPr>
          <w:p w14:paraId="52C9450F" w14:textId="700251FE" w:rsidR="00F95ECE" w:rsidRPr="00345574" w:rsidRDefault="00F95ECE" w:rsidP="00F95ECE">
            <w:pPr>
              <w:autoSpaceDE w:val="0"/>
              <w:autoSpaceDN w:val="0"/>
              <w:adjustRightInd w:val="0"/>
              <w:rPr>
                <w:rFonts w:ascii="TTC0t00" w:hAnsi="TTC0t00" w:cs="TTC0t00"/>
              </w:rPr>
            </w:pPr>
            <w:r w:rsidRPr="00345574">
              <w:rPr>
                <w:rFonts w:ascii="TTC0t00" w:hAnsi="TTC0t00" w:cs="TTC0t00"/>
              </w:rPr>
              <w:t>Risk of harm due to inappropriate</w:t>
            </w:r>
            <w:r w:rsidRPr="00345574">
              <w:rPr>
                <w:rFonts w:ascii="TTC0t00" w:hAnsi="TTC0t00" w:cs="TTC0t00"/>
              </w:rPr>
              <w:t xml:space="preserve"> </w:t>
            </w:r>
            <w:r w:rsidRPr="00345574">
              <w:rPr>
                <w:rFonts w:ascii="TTC0t00" w:hAnsi="TTC0t00" w:cs="TTC0t00"/>
              </w:rPr>
              <w:t>use of young people’s personal</w:t>
            </w:r>
          </w:p>
          <w:p w14:paraId="0A7DF758" w14:textId="0E6B2DBD" w:rsidR="00F95ECE" w:rsidRPr="00345574" w:rsidRDefault="00F95ECE" w:rsidP="00F95ECE">
            <w:pPr>
              <w:autoSpaceDE w:val="0"/>
              <w:autoSpaceDN w:val="0"/>
              <w:adjustRightInd w:val="0"/>
              <w:rPr>
                <w:rFonts w:ascii="TTC0t00" w:hAnsi="TTC0t00" w:cs="TTC0t00"/>
                <w:color w:val="000000"/>
              </w:rPr>
            </w:pPr>
            <w:r w:rsidRPr="00345574">
              <w:rPr>
                <w:rFonts w:ascii="TTC0t00" w:hAnsi="TTC0t00" w:cs="TTC0t00"/>
              </w:rPr>
              <w:t>data.</w:t>
            </w:r>
          </w:p>
        </w:tc>
        <w:tc>
          <w:tcPr>
            <w:tcW w:w="4910" w:type="dxa"/>
          </w:tcPr>
          <w:p w14:paraId="1D86A471" w14:textId="24438A2E" w:rsidR="00F95ECE" w:rsidRPr="00345574" w:rsidRDefault="00F95ECE" w:rsidP="00F95ECE">
            <w:pPr>
              <w:autoSpaceDE w:val="0"/>
              <w:autoSpaceDN w:val="0"/>
              <w:adjustRightInd w:val="0"/>
              <w:rPr>
                <w:rFonts w:ascii="TTC0t00" w:hAnsi="TTC0t00" w:cs="TTC0t00"/>
              </w:rPr>
            </w:pPr>
            <w:r w:rsidRPr="00345574">
              <w:rPr>
                <w:rFonts w:ascii="TTC0t00" w:hAnsi="TTC0t00" w:cs="TTC0t00"/>
              </w:rPr>
              <w:t>No data is disclosed to any third party and remains</w:t>
            </w:r>
            <w:r w:rsidRPr="00345574">
              <w:rPr>
                <w:rFonts w:ascii="TTC0t00" w:hAnsi="TTC0t00" w:cs="TTC0t00"/>
              </w:rPr>
              <w:t xml:space="preserve"> </w:t>
            </w:r>
            <w:r w:rsidRPr="00345574">
              <w:rPr>
                <w:rFonts w:ascii="TTC0t00" w:hAnsi="TTC0t00" w:cs="TTC0t00"/>
              </w:rPr>
              <w:t>confidential</w:t>
            </w:r>
          </w:p>
        </w:tc>
      </w:tr>
    </w:tbl>
    <w:p w14:paraId="34DCB85C" w14:textId="054E9B4B" w:rsidR="00E9772E" w:rsidRDefault="00E9772E" w:rsidP="00E9772E">
      <w:pPr>
        <w:pStyle w:val="ListParagraph"/>
        <w:ind w:left="360"/>
        <w:jc w:val="both"/>
      </w:pPr>
    </w:p>
    <w:p w14:paraId="33A832FC" w14:textId="299E1C36" w:rsidR="00345574" w:rsidRDefault="00345574" w:rsidP="00345574">
      <w:pPr>
        <w:pStyle w:val="ListParagraph"/>
        <w:ind w:left="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AD01F5" w14:textId="77777777" w:rsidR="00345574" w:rsidRPr="00345574" w:rsidRDefault="00345574" w:rsidP="00345574">
      <w:pPr>
        <w:pStyle w:val="ListParagraph"/>
        <w:ind w:left="0"/>
        <w:jc w:val="both"/>
        <w:rPr>
          <w:u w:val="single"/>
        </w:rPr>
      </w:pPr>
    </w:p>
    <w:p w14:paraId="2061D148" w14:textId="384A52F2" w:rsidR="00E9772E" w:rsidRPr="0055259B" w:rsidRDefault="00345574" w:rsidP="00345574">
      <w:pPr>
        <w:pStyle w:val="ListParagraph"/>
        <w:numPr>
          <w:ilvl w:val="0"/>
          <w:numId w:val="1"/>
        </w:numPr>
        <w:rPr>
          <w:b/>
        </w:rPr>
      </w:pPr>
      <w:r w:rsidRPr="0055259B">
        <w:rPr>
          <w:b/>
        </w:rPr>
        <w:t xml:space="preserve"> Procedures</w:t>
      </w:r>
    </w:p>
    <w:p w14:paraId="165CE01D" w14:textId="040E75FB" w:rsidR="00345574" w:rsidRDefault="00345574" w:rsidP="00345574">
      <w:pPr>
        <w:pStyle w:val="ListParagraph"/>
        <w:ind w:left="0"/>
      </w:pPr>
    </w:p>
    <w:p w14:paraId="39D0CF90" w14:textId="6B101B0A" w:rsidR="00345574" w:rsidRDefault="00345574" w:rsidP="00345574">
      <w:pPr>
        <w:pStyle w:val="ListParagraph"/>
        <w:ind w:left="0"/>
      </w:pPr>
      <w:r>
        <w:t xml:space="preserve">Our Child Safeguarding Statement has been development in line with requirements under the </w:t>
      </w:r>
      <w:r w:rsidRPr="00345574">
        <w:rPr>
          <w:i/>
        </w:rPr>
        <w:t>Children First Act 2015</w:t>
      </w:r>
      <w:r>
        <w:t xml:space="preserve">, the </w:t>
      </w:r>
      <w:r w:rsidRPr="00345574">
        <w:rPr>
          <w:i/>
        </w:rPr>
        <w:t>C</w:t>
      </w:r>
      <w:r>
        <w:rPr>
          <w:i/>
        </w:rPr>
        <w:t xml:space="preserve">hildren First:  National Guidance, </w:t>
      </w:r>
      <w:r>
        <w:t>and Tus</w:t>
      </w:r>
      <w:r w:rsidR="0055259B">
        <w:t xml:space="preserve">la’s </w:t>
      </w:r>
      <w:r>
        <w:rPr>
          <w:i/>
        </w:rPr>
        <w:t xml:space="preserve">Child Safeguarding:  A Guide for Policy, Procedure and Practice.  </w:t>
      </w:r>
      <w:r>
        <w:t xml:space="preserve">In addition to the procedures listed in our risk assessment, the following procedures support our </w:t>
      </w:r>
      <w:r w:rsidR="0055259B">
        <w:t>intention</w:t>
      </w:r>
      <w:r>
        <w:t xml:space="preserve"> to safeguard children while they are availing of our service:</w:t>
      </w:r>
    </w:p>
    <w:p w14:paraId="2280AE0C" w14:textId="3DA1D9BA" w:rsidR="00345574" w:rsidRDefault="00345574" w:rsidP="00345574">
      <w:pPr>
        <w:pStyle w:val="ListParagraph"/>
        <w:ind w:left="0"/>
      </w:pPr>
    </w:p>
    <w:p w14:paraId="052A8679" w14:textId="56979FA6" w:rsidR="00345574" w:rsidRDefault="00345574" w:rsidP="00345574">
      <w:pPr>
        <w:pStyle w:val="ListParagraph"/>
        <w:numPr>
          <w:ilvl w:val="0"/>
          <w:numId w:val="2"/>
        </w:numPr>
      </w:pPr>
      <w:r>
        <w:t xml:space="preserve">Procedure for the management of </w:t>
      </w:r>
      <w:r w:rsidR="0055259B">
        <w:t>allegations</w:t>
      </w:r>
      <w:r>
        <w:t xml:space="preserve"> of abuse or </w:t>
      </w:r>
      <w:r w:rsidR="0055259B">
        <w:t>misconduct against</w:t>
      </w:r>
      <w:r>
        <w:t xml:space="preserve"> </w:t>
      </w:r>
      <w:r w:rsidR="0055259B">
        <w:t>workers</w:t>
      </w:r>
      <w:r>
        <w:t>/volunteers of a child availing of our service.</w:t>
      </w:r>
    </w:p>
    <w:p w14:paraId="15B94C32" w14:textId="54A85189" w:rsidR="00345574" w:rsidRDefault="00345574" w:rsidP="00345574">
      <w:pPr>
        <w:pStyle w:val="ListParagraph"/>
        <w:numPr>
          <w:ilvl w:val="0"/>
          <w:numId w:val="2"/>
        </w:numPr>
      </w:pPr>
      <w:r>
        <w:t>Procedure for the safe recruitment and selection of workers and volunteers to work with children.</w:t>
      </w:r>
    </w:p>
    <w:p w14:paraId="4B9D4710" w14:textId="4361B637" w:rsidR="00345574" w:rsidRDefault="00345574" w:rsidP="00345574">
      <w:pPr>
        <w:pStyle w:val="ListParagraph"/>
        <w:numPr>
          <w:ilvl w:val="0"/>
          <w:numId w:val="2"/>
        </w:numPr>
      </w:pPr>
      <w:r>
        <w:t>Procedure for provision of and access to child safeguarding training and information, including the identification of the occurrence of harm.</w:t>
      </w:r>
    </w:p>
    <w:p w14:paraId="169826B0" w14:textId="1E5C4C88" w:rsidR="00345574" w:rsidRDefault="00345574" w:rsidP="00345574">
      <w:pPr>
        <w:pStyle w:val="ListParagraph"/>
        <w:numPr>
          <w:ilvl w:val="0"/>
          <w:numId w:val="2"/>
        </w:numPr>
      </w:pPr>
      <w:r>
        <w:t>Procedure for the reporting of child protection or welfare concerns to Tusla.</w:t>
      </w:r>
    </w:p>
    <w:p w14:paraId="55F0C257" w14:textId="72347F29" w:rsidR="00345574" w:rsidRDefault="00345574" w:rsidP="00345574">
      <w:pPr>
        <w:pStyle w:val="ListParagraph"/>
        <w:numPr>
          <w:ilvl w:val="0"/>
          <w:numId w:val="2"/>
        </w:numPr>
      </w:pPr>
      <w:r>
        <w:t>Procedure for maintaining a list of the persons (if any) in the relevant service who are mandated persons.</w:t>
      </w:r>
    </w:p>
    <w:p w14:paraId="16585855" w14:textId="062A83C5" w:rsidR="00345574" w:rsidRDefault="00345574" w:rsidP="00345574">
      <w:pPr>
        <w:pStyle w:val="ListParagraph"/>
        <w:numPr>
          <w:ilvl w:val="0"/>
          <w:numId w:val="2"/>
        </w:numPr>
      </w:pPr>
      <w:r>
        <w:t>Procedure for appointing a relevant person.</w:t>
      </w:r>
    </w:p>
    <w:p w14:paraId="280DD4D7" w14:textId="0A2E909C" w:rsidR="00345574" w:rsidRDefault="00345574" w:rsidP="00345574">
      <w:pPr>
        <w:pBdr>
          <w:bottom w:val="single" w:sz="12" w:space="1" w:color="auto"/>
        </w:pBdr>
      </w:pPr>
      <w:r>
        <w:lastRenderedPageBreak/>
        <w:t>All procedures listed are available upon request.</w:t>
      </w:r>
    </w:p>
    <w:p w14:paraId="565B4722" w14:textId="06C4C43D" w:rsidR="00345574" w:rsidRDefault="00345574" w:rsidP="00345574">
      <w:pPr>
        <w:rPr>
          <w:u w:val="single"/>
        </w:rPr>
      </w:pPr>
    </w:p>
    <w:p w14:paraId="45A90651" w14:textId="180E8EB6" w:rsidR="00345574" w:rsidRDefault="00345574" w:rsidP="00345574">
      <w:pPr>
        <w:pStyle w:val="ListParagraph"/>
        <w:numPr>
          <w:ilvl w:val="0"/>
          <w:numId w:val="1"/>
        </w:numPr>
      </w:pPr>
      <w:r w:rsidRPr="00345574">
        <w:t>Implementation</w:t>
      </w:r>
    </w:p>
    <w:p w14:paraId="01859A3D" w14:textId="3C00EB43" w:rsidR="00345574" w:rsidRDefault="00345574" w:rsidP="00345574">
      <w:r>
        <w:t xml:space="preserve">We recognise that implementation is an ongoing process.  Our service is </w:t>
      </w:r>
      <w:r w:rsidR="0055259B">
        <w:t>committed</w:t>
      </w:r>
      <w:r>
        <w:t xml:space="preserve"> to the implementation of this Child Safeguarding Statement and the procedures that support our intention to keep children safe from harm while availing of our service.  This Child Safeguarding Statement will be reviewed on </w:t>
      </w:r>
      <w:r>
        <w:rPr>
          <w:u w:val="single"/>
        </w:rPr>
        <w:t>1</w:t>
      </w:r>
      <w:r w:rsidRPr="00345574">
        <w:rPr>
          <w:u w:val="single"/>
          <w:vertAlign w:val="superscript"/>
        </w:rPr>
        <w:t>st</w:t>
      </w:r>
      <w:r>
        <w:rPr>
          <w:u w:val="single"/>
        </w:rPr>
        <w:t xml:space="preserve"> </w:t>
      </w:r>
      <w:r w:rsidR="0055259B">
        <w:rPr>
          <w:u w:val="single"/>
        </w:rPr>
        <w:t>November</w:t>
      </w:r>
      <w:r w:rsidR="00EC4A07">
        <w:rPr>
          <w:u w:val="single"/>
        </w:rPr>
        <w:t>,</w:t>
      </w:r>
      <w:bookmarkStart w:id="0" w:name="_GoBack"/>
      <w:bookmarkEnd w:id="0"/>
      <w:r>
        <w:rPr>
          <w:u w:val="single"/>
        </w:rPr>
        <w:t xml:space="preserve"> 2019</w:t>
      </w:r>
      <w:r>
        <w:t>, or as soon as practicable after there has been a material change in any matter to which the statement refers.</w:t>
      </w:r>
    </w:p>
    <w:p w14:paraId="5DFEC23F" w14:textId="116EDF7A" w:rsidR="0055259B" w:rsidRDefault="0055259B" w:rsidP="00345574"/>
    <w:p w14:paraId="65801712" w14:textId="044C2905" w:rsidR="0055259B" w:rsidRDefault="0055259B" w:rsidP="00345574">
      <w:r>
        <w:t>Signed ___</w:t>
      </w:r>
      <w:r w:rsidR="00913D0D" w:rsidRPr="00202315">
        <w:rPr>
          <w:noProof/>
          <w:u w:val="single"/>
          <w:lang w:eastAsia="en-IE"/>
        </w:rPr>
        <w:drawing>
          <wp:inline distT="0" distB="0" distL="0" distR="0" wp14:anchorId="7868A6D8" wp14:editId="05CF7F1D">
            <wp:extent cx="1333500" cy="542925"/>
            <wp:effectExtent l="0" t="0" r="0" b="9525"/>
            <wp:docPr id="2" name="Picture 2"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542925"/>
                    </a:xfrm>
                    <a:prstGeom prst="rect">
                      <a:avLst/>
                    </a:prstGeom>
                    <a:noFill/>
                    <a:ln>
                      <a:noFill/>
                    </a:ln>
                  </pic:spPr>
                </pic:pic>
              </a:graphicData>
            </a:graphic>
          </wp:inline>
        </w:drawing>
      </w:r>
      <w:r>
        <w:t>________________________________</w:t>
      </w:r>
    </w:p>
    <w:p w14:paraId="3820F309" w14:textId="01448F99" w:rsidR="0055259B" w:rsidRDefault="0055259B" w:rsidP="00345574">
      <w:r>
        <w:t>Executive Director/CEO Wexford Arts Centre</w:t>
      </w:r>
    </w:p>
    <w:p w14:paraId="3E459B2D" w14:textId="0F5EE8D7" w:rsidR="0055259B" w:rsidRDefault="0055259B" w:rsidP="00345574"/>
    <w:p w14:paraId="471736BA" w14:textId="0D24C0B4" w:rsidR="0055259B" w:rsidRDefault="0055259B" w:rsidP="00345574">
      <w:r>
        <w:t>Elizabeth Whyte</w:t>
      </w:r>
    </w:p>
    <w:p w14:paraId="56018178" w14:textId="109D6209" w:rsidR="0055259B" w:rsidRDefault="0055259B" w:rsidP="00345574">
      <w:r>
        <w:t>Executive Director/CEO</w:t>
      </w:r>
    </w:p>
    <w:p w14:paraId="00C69EF5" w14:textId="3E08E8C0" w:rsidR="0055259B" w:rsidRDefault="0055259B" w:rsidP="00345574">
      <w:r>
        <w:t>Wexford Arts Centre</w:t>
      </w:r>
    </w:p>
    <w:p w14:paraId="76D5DA2D" w14:textId="0D401AA3" w:rsidR="0055259B" w:rsidRDefault="0055259B" w:rsidP="00345574">
      <w:r>
        <w:t xml:space="preserve">Cornmarket </w:t>
      </w:r>
    </w:p>
    <w:p w14:paraId="6F4AA81E" w14:textId="7E0817EB" w:rsidR="0055259B" w:rsidRDefault="0055259B" w:rsidP="00345574">
      <w:r>
        <w:t>Wexford</w:t>
      </w:r>
    </w:p>
    <w:p w14:paraId="178A7D12" w14:textId="7447164E" w:rsidR="0055259B" w:rsidRDefault="0055259B" w:rsidP="00345574">
      <w:hyperlink r:id="rId7" w:history="1">
        <w:r w:rsidRPr="00117942">
          <w:rPr>
            <w:rStyle w:val="Hyperlink"/>
          </w:rPr>
          <w:t>elizabeth@wexfordartscentre.ie</w:t>
        </w:r>
      </w:hyperlink>
    </w:p>
    <w:p w14:paraId="1E88B779" w14:textId="13DE1EB3" w:rsidR="0055259B" w:rsidRDefault="0055259B" w:rsidP="00345574">
      <w:r>
        <w:t>Tel:  053 9123764 x 5</w:t>
      </w:r>
    </w:p>
    <w:p w14:paraId="4B4C817C" w14:textId="51103E53" w:rsidR="0055259B" w:rsidRDefault="0055259B" w:rsidP="00345574"/>
    <w:p w14:paraId="7733CC8B" w14:textId="1026DA88" w:rsidR="0055259B" w:rsidRDefault="0055259B" w:rsidP="00345574">
      <w:r>
        <w:t>For queries, please contact:  Catherine Bowe/Giovanna Delaney</w:t>
      </w:r>
    </w:p>
    <w:p w14:paraId="3D9A5DA9" w14:textId="351910B0" w:rsidR="0055259B" w:rsidRDefault="0055259B" w:rsidP="00345574">
      <w:hyperlink r:id="rId8" w:history="1">
        <w:r w:rsidRPr="00117942">
          <w:rPr>
            <w:rStyle w:val="Hyperlink"/>
          </w:rPr>
          <w:t>catherine@wexfordartscentre.ie</w:t>
        </w:r>
      </w:hyperlink>
      <w:r>
        <w:t xml:space="preserve"> or </w:t>
      </w:r>
      <w:hyperlink r:id="rId9" w:history="1">
        <w:r w:rsidRPr="00117942">
          <w:rPr>
            <w:rStyle w:val="Hyperlink"/>
          </w:rPr>
          <w:t>Giovanna@wexfordartscentre.ie</w:t>
        </w:r>
      </w:hyperlink>
    </w:p>
    <w:p w14:paraId="662DFD10" w14:textId="04E479D7" w:rsidR="0055259B" w:rsidRDefault="0055259B" w:rsidP="00345574">
      <w:r>
        <w:t>Tel:  053 9123764 x 3 Catherine or x 2 for Giovanna.</w:t>
      </w:r>
    </w:p>
    <w:p w14:paraId="07A41A36" w14:textId="70E367BD" w:rsidR="0055259B" w:rsidRPr="00345574" w:rsidRDefault="0055259B" w:rsidP="00345574">
      <w:r>
        <w:t>Relevant Person/s under the Children First Act 2015</w:t>
      </w:r>
    </w:p>
    <w:p w14:paraId="0702F8C7" w14:textId="77777777" w:rsidR="00345574" w:rsidRPr="00345574" w:rsidRDefault="00345574" w:rsidP="0055259B">
      <w:pPr>
        <w:pStyle w:val="ListParagraph"/>
        <w:ind w:left="360"/>
        <w:rPr>
          <w:u w:val="single"/>
        </w:rPr>
      </w:pPr>
    </w:p>
    <w:p w14:paraId="4B9A1C17" w14:textId="77777777" w:rsidR="00345574" w:rsidRPr="00345574" w:rsidRDefault="00345574" w:rsidP="00345574"/>
    <w:sectPr w:rsidR="00345574" w:rsidRPr="00345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C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9F7"/>
    <w:multiLevelType w:val="hybridMultilevel"/>
    <w:tmpl w:val="24DED35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B747390"/>
    <w:multiLevelType w:val="hybridMultilevel"/>
    <w:tmpl w:val="3C6A2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2E"/>
    <w:rsid w:val="00345574"/>
    <w:rsid w:val="0055259B"/>
    <w:rsid w:val="00737514"/>
    <w:rsid w:val="00913D0D"/>
    <w:rsid w:val="00BC0449"/>
    <w:rsid w:val="00E95BEC"/>
    <w:rsid w:val="00E9772E"/>
    <w:rsid w:val="00EC4A07"/>
    <w:rsid w:val="00F95E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3337"/>
  <w15:chartTrackingRefBased/>
  <w15:docId w15:val="{B127EA58-9A26-42F9-8A4C-1676E58C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2E"/>
    <w:pPr>
      <w:ind w:left="720"/>
      <w:contextualSpacing/>
    </w:pPr>
  </w:style>
  <w:style w:type="table" w:styleId="TableGrid">
    <w:name w:val="Table Grid"/>
    <w:basedOn w:val="TableNormal"/>
    <w:uiPriority w:val="39"/>
    <w:rsid w:val="00E9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59B"/>
    <w:rPr>
      <w:color w:val="0563C1" w:themeColor="hyperlink"/>
      <w:u w:val="single"/>
    </w:rPr>
  </w:style>
  <w:style w:type="character" w:styleId="UnresolvedMention">
    <w:name w:val="Unresolved Mention"/>
    <w:basedOn w:val="DefaultParagraphFont"/>
    <w:uiPriority w:val="99"/>
    <w:semiHidden/>
    <w:unhideWhenUsed/>
    <w:rsid w:val="0055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wexfordartscentre.ie" TargetMode="External"/><Relationship Id="rId3" Type="http://schemas.openxmlformats.org/officeDocument/2006/relationships/settings" Target="settings.xml"/><Relationship Id="rId7" Type="http://schemas.openxmlformats.org/officeDocument/2006/relationships/hyperlink" Target="mailto:elizabeth@wexfordartscent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ovanna@wexfordartscent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Whyte</dc:creator>
  <cp:keywords/>
  <dc:description/>
  <cp:lastModifiedBy>Elizabeth Whyte</cp:lastModifiedBy>
  <cp:revision>2</cp:revision>
  <dcterms:created xsi:type="dcterms:W3CDTF">2018-11-07T15:48:00Z</dcterms:created>
  <dcterms:modified xsi:type="dcterms:W3CDTF">2018-11-07T17:10:00Z</dcterms:modified>
</cp:coreProperties>
</file>